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7085" w14:textId="77777777" w:rsidR="0013173B" w:rsidRDefault="0013173B" w:rsidP="0013173B">
      <w:pPr>
        <w:jc w:val="center"/>
      </w:pPr>
      <w:r>
        <w:t>Hinkledux Churches of St Peter’s, Duxford; St John’s and St Mary, Hinxton; St Mary Magdalene, Ickleton</w:t>
      </w:r>
    </w:p>
    <w:p w14:paraId="67E36652" w14:textId="77777777" w:rsidR="0013173B" w:rsidRDefault="0013173B" w:rsidP="0013173B"/>
    <w:p w14:paraId="19D946FC" w14:textId="7259723F" w:rsidR="0013173B" w:rsidRPr="00F014DE" w:rsidRDefault="006B48F3" w:rsidP="0013173B">
      <w:pPr>
        <w:jc w:val="center"/>
        <w:rPr>
          <w:b/>
          <w:bCs/>
          <w:sz w:val="48"/>
          <w:szCs w:val="48"/>
          <w:u w:val="single"/>
        </w:rPr>
      </w:pPr>
      <w:r>
        <w:rPr>
          <w:b/>
          <w:bCs/>
          <w:sz w:val="48"/>
          <w:szCs w:val="48"/>
          <w:u w:val="single"/>
        </w:rPr>
        <w:t>Conflict of Interest</w:t>
      </w:r>
      <w:r w:rsidR="0013173B" w:rsidRPr="00F014DE">
        <w:rPr>
          <w:b/>
          <w:bCs/>
          <w:sz w:val="48"/>
          <w:szCs w:val="48"/>
          <w:u w:val="single"/>
        </w:rPr>
        <w:t xml:space="preserve"> Policy</w:t>
      </w:r>
    </w:p>
    <w:p w14:paraId="3F84FA4D" w14:textId="77777777" w:rsidR="0013173B" w:rsidRDefault="0013173B" w:rsidP="0013173B"/>
    <w:p w14:paraId="6B83441F" w14:textId="77777777" w:rsidR="0013173B" w:rsidRDefault="0013173B" w:rsidP="0013173B"/>
    <w:tbl>
      <w:tblPr>
        <w:tblStyle w:val="TableGrid"/>
        <w:tblW w:w="0" w:type="auto"/>
        <w:jc w:val="center"/>
        <w:tblLook w:val="04A0" w:firstRow="1" w:lastRow="0" w:firstColumn="1" w:lastColumn="0" w:noHBand="0" w:noVBand="1"/>
      </w:tblPr>
      <w:tblGrid>
        <w:gridCol w:w="2067"/>
        <w:gridCol w:w="2067"/>
        <w:gridCol w:w="2068"/>
        <w:gridCol w:w="2068"/>
      </w:tblGrid>
      <w:tr w:rsidR="0013173B" w14:paraId="2C51C1E7" w14:textId="77777777" w:rsidTr="00306099">
        <w:trPr>
          <w:trHeight w:val="806"/>
          <w:jc w:val="center"/>
        </w:trPr>
        <w:tc>
          <w:tcPr>
            <w:tcW w:w="2067" w:type="dxa"/>
            <w:vAlign w:val="center"/>
          </w:tcPr>
          <w:p w14:paraId="25D94589" w14:textId="77777777" w:rsidR="0013173B" w:rsidRDefault="0013173B" w:rsidP="00306099">
            <w:pPr>
              <w:jc w:val="center"/>
            </w:pPr>
          </w:p>
        </w:tc>
        <w:tc>
          <w:tcPr>
            <w:tcW w:w="2067" w:type="dxa"/>
            <w:vAlign w:val="center"/>
          </w:tcPr>
          <w:p w14:paraId="1B4D5E61" w14:textId="77777777" w:rsidR="0013173B" w:rsidRDefault="0013173B" w:rsidP="00306099">
            <w:pPr>
              <w:jc w:val="center"/>
            </w:pPr>
            <w:r>
              <w:t>Date agreed in principle via email</w:t>
            </w:r>
          </w:p>
        </w:tc>
        <w:tc>
          <w:tcPr>
            <w:tcW w:w="2068" w:type="dxa"/>
            <w:vAlign w:val="center"/>
          </w:tcPr>
          <w:p w14:paraId="022A7F44" w14:textId="77777777" w:rsidR="0013173B" w:rsidRDefault="0013173B" w:rsidP="00306099">
            <w:pPr>
              <w:jc w:val="center"/>
            </w:pPr>
            <w:r>
              <w:t>Date formally adopted at next PCC meeting</w:t>
            </w:r>
          </w:p>
        </w:tc>
        <w:tc>
          <w:tcPr>
            <w:tcW w:w="2068" w:type="dxa"/>
            <w:vAlign w:val="center"/>
          </w:tcPr>
          <w:p w14:paraId="336106E1" w14:textId="77777777" w:rsidR="0013173B" w:rsidRDefault="0013173B" w:rsidP="00306099">
            <w:pPr>
              <w:jc w:val="center"/>
            </w:pPr>
            <w:r>
              <w:t>Date of Review</w:t>
            </w:r>
          </w:p>
        </w:tc>
      </w:tr>
      <w:tr w:rsidR="0013173B" w14:paraId="6F976166" w14:textId="77777777" w:rsidTr="00306099">
        <w:trPr>
          <w:trHeight w:val="806"/>
          <w:jc w:val="center"/>
        </w:trPr>
        <w:tc>
          <w:tcPr>
            <w:tcW w:w="2067" w:type="dxa"/>
            <w:vAlign w:val="center"/>
          </w:tcPr>
          <w:p w14:paraId="5788956E" w14:textId="77777777" w:rsidR="0013173B" w:rsidRDefault="0013173B" w:rsidP="00306099">
            <w:pPr>
              <w:jc w:val="center"/>
            </w:pPr>
            <w:r>
              <w:t>St Peter’s, Duxford</w:t>
            </w:r>
          </w:p>
        </w:tc>
        <w:tc>
          <w:tcPr>
            <w:tcW w:w="2067" w:type="dxa"/>
            <w:vAlign w:val="center"/>
          </w:tcPr>
          <w:p w14:paraId="2DD986FC" w14:textId="77777777" w:rsidR="0013173B" w:rsidRDefault="0013173B" w:rsidP="00306099">
            <w:pPr>
              <w:jc w:val="center"/>
            </w:pPr>
          </w:p>
        </w:tc>
        <w:tc>
          <w:tcPr>
            <w:tcW w:w="2068" w:type="dxa"/>
            <w:vAlign w:val="center"/>
          </w:tcPr>
          <w:p w14:paraId="0D1C4C37" w14:textId="6C80E01B" w:rsidR="0013173B" w:rsidRDefault="0013173B" w:rsidP="00306099">
            <w:pPr>
              <w:jc w:val="center"/>
            </w:pPr>
          </w:p>
        </w:tc>
        <w:tc>
          <w:tcPr>
            <w:tcW w:w="2068" w:type="dxa"/>
            <w:vAlign w:val="center"/>
          </w:tcPr>
          <w:p w14:paraId="11A48538" w14:textId="77777777" w:rsidR="0013173B" w:rsidRDefault="0013173B" w:rsidP="00306099">
            <w:pPr>
              <w:jc w:val="center"/>
            </w:pPr>
          </w:p>
        </w:tc>
      </w:tr>
      <w:tr w:rsidR="0013173B" w14:paraId="71FEA7E2" w14:textId="77777777" w:rsidTr="00306099">
        <w:trPr>
          <w:trHeight w:val="806"/>
          <w:jc w:val="center"/>
        </w:trPr>
        <w:tc>
          <w:tcPr>
            <w:tcW w:w="2067" w:type="dxa"/>
            <w:vAlign w:val="center"/>
          </w:tcPr>
          <w:p w14:paraId="1D807EC4" w14:textId="77777777" w:rsidR="0013173B" w:rsidRDefault="0013173B" w:rsidP="00306099">
            <w:pPr>
              <w:jc w:val="center"/>
            </w:pPr>
            <w:r>
              <w:t>St John’s and St Mary, Hinxton</w:t>
            </w:r>
          </w:p>
        </w:tc>
        <w:tc>
          <w:tcPr>
            <w:tcW w:w="2067" w:type="dxa"/>
            <w:vAlign w:val="center"/>
          </w:tcPr>
          <w:p w14:paraId="658BF0A7" w14:textId="77777777" w:rsidR="0013173B" w:rsidRDefault="0013173B" w:rsidP="00306099">
            <w:pPr>
              <w:jc w:val="center"/>
            </w:pPr>
          </w:p>
        </w:tc>
        <w:tc>
          <w:tcPr>
            <w:tcW w:w="2068" w:type="dxa"/>
            <w:vAlign w:val="center"/>
          </w:tcPr>
          <w:p w14:paraId="449C3380" w14:textId="77777777" w:rsidR="0013173B" w:rsidRDefault="0013173B" w:rsidP="00306099">
            <w:pPr>
              <w:jc w:val="center"/>
            </w:pPr>
          </w:p>
        </w:tc>
        <w:tc>
          <w:tcPr>
            <w:tcW w:w="2068" w:type="dxa"/>
            <w:vAlign w:val="center"/>
          </w:tcPr>
          <w:p w14:paraId="37708081" w14:textId="77777777" w:rsidR="0013173B" w:rsidRDefault="0013173B" w:rsidP="00306099">
            <w:pPr>
              <w:jc w:val="center"/>
            </w:pPr>
          </w:p>
        </w:tc>
      </w:tr>
      <w:tr w:rsidR="0013173B" w14:paraId="27BA695D" w14:textId="77777777" w:rsidTr="00306099">
        <w:trPr>
          <w:trHeight w:val="806"/>
          <w:jc w:val="center"/>
        </w:trPr>
        <w:tc>
          <w:tcPr>
            <w:tcW w:w="2067" w:type="dxa"/>
            <w:vAlign w:val="center"/>
          </w:tcPr>
          <w:p w14:paraId="517B6CD5" w14:textId="77777777" w:rsidR="0013173B" w:rsidRDefault="0013173B" w:rsidP="00306099">
            <w:pPr>
              <w:jc w:val="center"/>
            </w:pPr>
            <w:r>
              <w:t>St Mary Magdalene, Ickleton</w:t>
            </w:r>
          </w:p>
        </w:tc>
        <w:tc>
          <w:tcPr>
            <w:tcW w:w="2067" w:type="dxa"/>
            <w:vAlign w:val="center"/>
          </w:tcPr>
          <w:p w14:paraId="070AF83B" w14:textId="77777777" w:rsidR="0013173B" w:rsidRDefault="0013173B" w:rsidP="00306099">
            <w:pPr>
              <w:jc w:val="center"/>
            </w:pPr>
          </w:p>
        </w:tc>
        <w:tc>
          <w:tcPr>
            <w:tcW w:w="2068" w:type="dxa"/>
            <w:vAlign w:val="center"/>
          </w:tcPr>
          <w:p w14:paraId="4AE1A289" w14:textId="27226A84" w:rsidR="0013173B" w:rsidRDefault="0013173B" w:rsidP="00306099">
            <w:pPr>
              <w:jc w:val="center"/>
            </w:pPr>
          </w:p>
        </w:tc>
        <w:tc>
          <w:tcPr>
            <w:tcW w:w="2068" w:type="dxa"/>
            <w:vAlign w:val="center"/>
          </w:tcPr>
          <w:p w14:paraId="4D2536F6" w14:textId="77777777" w:rsidR="0013173B" w:rsidRDefault="0013173B" w:rsidP="00306099">
            <w:pPr>
              <w:jc w:val="center"/>
            </w:pPr>
          </w:p>
        </w:tc>
      </w:tr>
    </w:tbl>
    <w:p w14:paraId="7CA7EFAE" w14:textId="77777777" w:rsidR="0013173B" w:rsidRDefault="0013173B"/>
    <w:p w14:paraId="732BCE48" w14:textId="77777777" w:rsidR="0013173B" w:rsidRDefault="0013173B"/>
    <w:p w14:paraId="6F7DEF07" w14:textId="77777777" w:rsidR="0013173B" w:rsidRDefault="0013173B"/>
    <w:p w14:paraId="58290219" w14:textId="77777777" w:rsidR="0013173B" w:rsidRDefault="0013173B"/>
    <w:p w14:paraId="3393D504" w14:textId="4D47D7A7" w:rsidR="0013173B" w:rsidRDefault="0013173B">
      <w:r>
        <w:br w:type="page"/>
      </w:r>
    </w:p>
    <w:p w14:paraId="60411213" w14:textId="41855828" w:rsidR="0098071A" w:rsidRDefault="00FA3F88">
      <w:r>
        <w:lastRenderedPageBreak/>
        <w:t>Conflicts of Interest</w:t>
      </w:r>
    </w:p>
    <w:p w14:paraId="2021C582" w14:textId="77777777" w:rsidR="00FA3F88" w:rsidRPr="00CB189A" w:rsidRDefault="00FA3F88" w:rsidP="00FA3F88">
      <w:pPr>
        <w:ind w:left="-425"/>
        <w:rPr>
          <w:rFonts w:ascii="Arial" w:hAnsi="Arial" w:cs="Arial"/>
          <w:sz w:val="16"/>
          <w:szCs w:val="16"/>
        </w:rPr>
      </w:pPr>
    </w:p>
    <w:p w14:paraId="4AA2E218" w14:textId="77777777" w:rsidR="00FA3F88" w:rsidRDefault="00FA3F88" w:rsidP="00FA3F88">
      <w:pPr>
        <w:pStyle w:val="ListParagraph"/>
        <w:numPr>
          <w:ilvl w:val="0"/>
          <w:numId w:val="1"/>
        </w:numPr>
        <w:ind w:left="0" w:hanging="357"/>
        <w:mirrorIndents/>
        <w:rPr>
          <w:rFonts w:ascii="Arial" w:hAnsi="Arial" w:cs="Arial"/>
        </w:rPr>
      </w:pPr>
      <w:r w:rsidRPr="00C27DEE">
        <w:rPr>
          <w:rFonts w:ascii="Arial" w:hAnsi="Arial" w:cs="Arial"/>
        </w:rPr>
        <w:t xml:space="preserve">Our policy is that people involved in making decisions must declare whether they have a conflict of interest in making such a decision, and that arrangements </w:t>
      </w:r>
      <w:r>
        <w:rPr>
          <w:rFonts w:ascii="Arial" w:hAnsi="Arial" w:cs="Arial"/>
        </w:rPr>
        <w:t xml:space="preserve">must </w:t>
      </w:r>
      <w:r w:rsidRPr="00C27DEE">
        <w:rPr>
          <w:rFonts w:ascii="Arial" w:hAnsi="Arial" w:cs="Arial"/>
        </w:rPr>
        <w:t>be put in place to manage that conflict</w:t>
      </w:r>
      <w:r>
        <w:rPr>
          <w:rFonts w:ascii="Arial" w:hAnsi="Arial" w:cs="Arial"/>
        </w:rPr>
        <w:t xml:space="preserve">, and record the conflict and the actions taken to manage it </w:t>
      </w:r>
      <w:r w:rsidRPr="00802742">
        <w:rPr>
          <w:rFonts w:ascii="Arial" w:hAnsi="Arial" w:cs="Arial"/>
          <w:color w:val="FF0000"/>
        </w:rPr>
        <w:t>in meeting minutes/notes</w:t>
      </w:r>
      <w:r w:rsidRPr="00C27DEE">
        <w:rPr>
          <w:rFonts w:ascii="Arial" w:hAnsi="Arial" w:cs="Arial"/>
        </w:rPr>
        <w:t xml:space="preserve">, (e.g. actions </w:t>
      </w:r>
      <w:r>
        <w:rPr>
          <w:rFonts w:ascii="Arial" w:hAnsi="Arial" w:cs="Arial"/>
        </w:rPr>
        <w:t xml:space="preserve">might mean a person leaves a meeting for a particular item taking no part in the decision).  </w:t>
      </w:r>
    </w:p>
    <w:p w14:paraId="65C892B3" w14:textId="77777777" w:rsidR="00FA3F88" w:rsidRPr="00C27DEE" w:rsidRDefault="00FA3F88" w:rsidP="00FA3F88">
      <w:pPr>
        <w:pStyle w:val="ListParagraph"/>
        <w:ind w:left="0"/>
        <w:mirrorIndents/>
        <w:rPr>
          <w:rFonts w:ascii="Arial" w:hAnsi="Arial" w:cs="Arial"/>
        </w:rPr>
      </w:pPr>
    </w:p>
    <w:p w14:paraId="5AB0D104"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t xml:space="preserve">Each </w:t>
      </w:r>
      <w:r>
        <w:rPr>
          <w:rFonts w:ascii="Arial" w:hAnsi="Arial" w:cs="Arial"/>
        </w:rPr>
        <w:t xml:space="preserve">PCC </w:t>
      </w:r>
      <w:r w:rsidRPr="00E44760">
        <w:rPr>
          <w:rFonts w:ascii="Arial" w:hAnsi="Arial" w:cs="Arial"/>
        </w:rPr>
        <w:t>in the Church of England is a separate charity.  The PCC members are the charity’s Trustees.  Charity trustees have a legal obligation to act in the best interests of the charity.  So, they need to avoid putting themselves in positions in which their duty to act only in the best interests of the charity could conflict with any personal interests they may have.</w:t>
      </w:r>
    </w:p>
    <w:p w14:paraId="4C4F672F" w14:textId="77777777" w:rsidR="00FA3F88" w:rsidRPr="00E44760" w:rsidRDefault="00FA3F88" w:rsidP="00FA3F88">
      <w:pPr>
        <w:pStyle w:val="ListParagraph"/>
        <w:ind w:left="0" w:hanging="357"/>
        <w:mirrorIndents/>
        <w:rPr>
          <w:rFonts w:ascii="Arial" w:hAnsi="Arial" w:cs="Arial"/>
        </w:rPr>
      </w:pPr>
    </w:p>
    <w:p w14:paraId="1D366306" w14:textId="77777777" w:rsidR="00FA3F88" w:rsidRDefault="00FA3F88" w:rsidP="00FA3F88">
      <w:pPr>
        <w:pStyle w:val="ListParagraph"/>
        <w:numPr>
          <w:ilvl w:val="0"/>
          <w:numId w:val="1"/>
        </w:numPr>
        <w:ind w:left="0" w:hanging="357"/>
        <w:mirrorIndents/>
        <w:rPr>
          <w:rFonts w:ascii="Arial" w:hAnsi="Arial" w:cs="Arial"/>
        </w:rPr>
      </w:pPr>
      <w:r w:rsidRPr="00E44760">
        <w:rPr>
          <w:rFonts w:ascii="Arial" w:hAnsi="Arial" w:cs="Arial"/>
        </w:rPr>
        <w:t>A conflict of interest is any situation in which</w:t>
      </w:r>
      <w:r>
        <w:rPr>
          <w:rFonts w:ascii="Arial" w:hAnsi="Arial" w:cs="Arial"/>
        </w:rPr>
        <w:t xml:space="preserve"> somebody’s </w:t>
      </w:r>
      <w:r w:rsidRPr="00E44760">
        <w:rPr>
          <w:rFonts w:ascii="Arial" w:hAnsi="Arial" w:cs="Arial"/>
        </w:rPr>
        <w:t>personal interests or loyalties could prevent</w:t>
      </w:r>
      <w:r>
        <w:rPr>
          <w:rFonts w:ascii="Arial" w:hAnsi="Arial" w:cs="Arial"/>
        </w:rPr>
        <w:t>,</w:t>
      </w:r>
      <w:r w:rsidRPr="00E44760">
        <w:rPr>
          <w:rFonts w:ascii="Arial" w:hAnsi="Arial" w:cs="Arial"/>
        </w:rPr>
        <w:t xml:space="preserve"> or could be seen to prevent the</w:t>
      </w:r>
      <w:r>
        <w:rPr>
          <w:rFonts w:ascii="Arial" w:hAnsi="Arial" w:cs="Arial"/>
        </w:rPr>
        <w:t xml:space="preserve">m, </w:t>
      </w:r>
      <w:r w:rsidRPr="00E44760">
        <w:rPr>
          <w:rFonts w:ascii="Arial" w:hAnsi="Arial" w:cs="Arial"/>
        </w:rPr>
        <w:t xml:space="preserve">from </w:t>
      </w:r>
      <w:proofErr w:type="gramStart"/>
      <w:r w:rsidRPr="00E44760">
        <w:rPr>
          <w:rFonts w:ascii="Arial" w:hAnsi="Arial" w:cs="Arial"/>
        </w:rPr>
        <w:t>making a decision</w:t>
      </w:r>
      <w:proofErr w:type="gramEnd"/>
      <w:r w:rsidRPr="00E44760">
        <w:rPr>
          <w:rFonts w:ascii="Arial" w:hAnsi="Arial" w:cs="Arial"/>
        </w:rPr>
        <w:t xml:space="preserve"> only in the best interests of the PCC.  Such a situation may arise either:</w:t>
      </w:r>
    </w:p>
    <w:p w14:paraId="4A8194B4" w14:textId="77777777" w:rsidR="00FA3F88" w:rsidRPr="007821F9" w:rsidRDefault="00FA3F88" w:rsidP="00FA3F88">
      <w:pPr>
        <w:pStyle w:val="ListParagraph"/>
        <w:rPr>
          <w:rFonts w:ascii="Arial" w:hAnsi="Arial" w:cs="Arial"/>
        </w:rPr>
      </w:pPr>
    </w:p>
    <w:p w14:paraId="683287B8" w14:textId="77777777" w:rsidR="00FA3F88" w:rsidRDefault="00FA3F88" w:rsidP="00FA3F88">
      <w:pPr>
        <w:pStyle w:val="ListParagraph"/>
        <w:ind w:left="709" w:hanging="283"/>
        <w:mirrorIndents/>
        <w:rPr>
          <w:rFonts w:ascii="Arial" w:hAnsi="Arial" w:cs="Arial"/>
        </w:rPr>
      </w:pPr>
      <w:r>
        <w:rPr>
          <w:rFonts w:ascii="Arial" w:hAnsi="Arial" w:cs="Arial"/>
        </w:rPr>
        <w:t xml:space="preserve">     a. </w:t>
      </w:r>
      <w:r w:rsidRPr="007821F9">
        <w:rPr>
          <w:rFonts w:ascii="Arial" w:hAnsi="Arial" w:cs="Arial"/>
        </w:rPr>
        <w:t>where there is a potential financial or other benefit to a person, whether directly or indirectly, through a connected person (such as a close family member or business partner); or</w:t>
      </w:r>
    </w:p>
    <w:p w14:paraId="758D7EDF" w14:textId="77777777" w:rsidR="00FA3F88" w:rsidRDefault="00FA3F88" w:rsidP="00FA3F88">
      <w:pPr>
        <w:pStyle w:val="ListParagraph"/>
        <w:ind w:left="709" w:hanging="283"/>
        <w:mirrorIndents/>
        <w:rPr>
          <w:rFonts w:ascii="Arial" w:hAnsi="Arial" w:cs="Arial"/>
        </w:rPr>
      </w:pPr>
    </w:p>
    <w:p w14:paraId="504939D5" w14:textId="77777777" w:rsidR="00FA3F88" w:rsidRPr="00E947D7" w:rsidRDefault="00FA3F88" w:rsidP="00FA3F88">
      <w:pPr>
        <w:pStyle w:val="ListParagraph"/>
        <w:ind w:left="709" w:hanging="283"/>
        <w:mirrorIndents/>
        <w:rPr>
          <w:rFonts w:ascii="Arial" w:hAnsi="Arial" w:cs="Arial"/>
        </w:rPr>
      </w:pPr>
      <w:r>
        <w:rPr>
          <w:rFonts w:ascii="Arial" w:hAnsi="Arial" w:cs="Arial"/>
        </w:rPr>
        <w:t xml:space="preserve">     b. </w:t>
      </w:r>
      <w:r w:rsidRPr="00E947D7">
        <w:rPr>
          <w:rFonts w:ascii="Arial" w:hAnsi="Arial" w:cs="Arial"/>
        </w:rPr>
        <w:t xml:space="preserve">where a person’s duty to the PCC may compete with a duty of loyalty they owe to another organisation or person (e.g. by virtue of being a trustee or Committee member of a body which has an interest in the matter).  </w:t>
      </w:r>
    </w:p>
    <w:p w14:paraId="243C6DC8" w14:textId="77777777" w:rsidR="00FA3F88" w:rsidRPr="00E44760" w:rsidRDefault="00FA3F88" w:rsidP="00FA3F88">
      <w:pPr>
        <w:pStyle w:val="ListParagraph"/>
        <w:ind w:left="0" w:hanging="357"/>
        <w:mirrorIndents/>
        <w:rPr>
          <w:rFonts w:ascii="Arial" w:hAnsi="Arial" w:cs="Arial"/>
        </w:rPr>
      </w:pPr>
    </w:p>
    <w:p w14:paraId="3D4C5D7C"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t xml:space="preserve">Individual charity trustees must identify and declare any conflict of interest on their part.  Collectively the charity trustees must ensure that they have arrangements in place that enable conflicts of interest to be identified and dealt with effectively. </w:t>
      </w:r>
    </w:p>
    <w:p w14:paraId="35AB30FE" w14:textId="77777777" w:rsidR="00FA3F88" w:rsidRPr="00E44760" w:rsidRDefault="00FA3F88" w:rsidP="00FA3F88">
      <w:pPr>
        <w:pStyle w:val="ListParagraph"/>
        <w:ind w:left="0" w:hanging="357"/>
        <w:mirrorIndents/>
        <w:rPr>
          <w:rFonts w:ascii="Arial" w:hAnsi="Arial" w:cs="Arial"/>
        </w:rPr>
      </w:pPr>
    </w:p>
    <w:p w14:paraId="03835D0A"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t>The early identification of conflicts of interest is therefore key to ensuring that both individual charity trustees and the charity trustees collectively do what is expected of them.</w:t>
      </w:r>
    </w:p>
    <w:p w14:paraId="6194F729" w14:textId="77777777" w:rsidR="00FA3F88" w:rsidRPr="00E44760" w:rsidRDefault="00FA3F88" w:rsidP="00FA3F88">
      <w:pPr>
        <w:pStyle w:val="ListParagraph"/>
        <w:ind w:left="0" w:hanging="357"/>
        <w:mirrorIndents/>
        <w:rPr>
          <w:rFonts w:ascii="Arial" w:hAnsi="Arial" w:cs="Arial"/>
        </w:rPr>
      </w:pPr>
    </w:p>
    <w:p w14:paraId="2ADAD861"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t xml:space="preserve">Individuals should declare any conflicts of interest to the Chair of meetings as soon as the agenda is circulated.  </w:t>
      </w:r>
    </w:p>
    <w:p w14:paraId="28ABDE14" w14:textId="77777777" w:rsidR="00FA3F88" w:rsidRPr="00E44760" w:rsidRDefault="00FA3F88" w:rsidP="00FA3F88">
      <w:pPr>
        <w:pStyle w:val="ListParagraph"/>
        <w:ind w:left="0" w:hanging="357"/>
        <w:mirrorIndents/>
        <w:rPr>
          <w:rFonts w:ascii="Arial" w:hAnsi="Arial" w:cs="Arial"/>
        </w:rPr>
      </w:pPr>
    </w:p>
    <w:p w14:paraId="64735AC3"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t>Meetings must have as the 1</w:t>
      </w:r>
      <w:r w:rsidRPr="00E44760">
        <w:rPr>
          <w:rFonts w:ascii="Arial" w:hAnsi="Arial" w:cs="Arial"/>
          <w:vertAlign w:val="superscript"/>
        </w:rPr>
        <w:t>st</w:t>
      </w:r>
      <w:r w:rsidRPr="00E44760">
        <w:rPr>
          <w:rFonts w:ascii="Arial" w:hAnsi="Arial" w:cs="Arial"/>
        </w:rPr>
        <w:t xml:space="preserve"> item o</w:t>
      </w:r>
      <w:r>
        <w:rPr>
          <w:rFonts w:ascii="Arial" w:hAnsi="Arial" w:cs="Arial"/>
        </w:rPr>
        <w:t>f business o</w:t>
      </w:r>
      <w:r w:rsidRPr="00E44760">
        <w:rPr>
          <w:rFonts w:ascii="Arial" w:hAnsi="Arial" w:cs="Arial"/>
        </w:rPr>
        <w:t xml:space="preserve">n their agenda “Declaration of Conflicts of Interest”.  Individuals at meetings must declare any conflicts of interest they have on agenda items. </w:t>
      </w:r>
    </w:p>
    <w:p w14:paraId="386DDF34" w14:textId="77777777" w:rsidR="00FA3F88" w:rsidRPr="00E44760" w:rsidRDefault="00FA3F88" w:rsidP="00FA3F88">
      <w:pPr>
        <w:pStyle w:val="ListParagraph"/>
        <w:ind w:left="0" w:hanging="357"/>
        <w:mirrorIndents/>
        <w:rPr>
          <w:rFonts w:ascii="Arial" w:hAnsi="Arial" w:cs="Arial"/>
        </w:rPr>
      </w:pPr>
    </w:p>
    <w:p w14:paraId="6A18AB19"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t xml:space="preserve">If discussion at a meeting moves onto an issue not on the agenda, then individuals at the meeting must declare any conflicts of interest they have on the issue or decisions likely to be made on it. </w:t>
      </w:r>
    </w:p>
    <w:p w14:paraId="4F68DCC9" w14:textId="77777777" w:rsidR="00FA3F88" w:rsidRPr="00E44760" w:rsidRDefault="00FA3F88" w:rsidP="00FA3F88">
      <w:pPr>
        <w:pStyle w:val="ListParagraph"/>
        <w:ind w:left="0" w:hanging="357"/>
        <w:mirrorIndents/>
        <w:rPr>
          <w:rFonts w:ascii="Arial" w:hAnsi="Arial" w:cs="Arial"/>
        </w:rPr>
      </w:pPr>
    </w:p>
    <w:p w14:paraId="04EAEAC8"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t xml:space="preserve">Where a conflict of interest arises in connection with a personal benefit, the </w:t>
      </w:r>
      <w:r>
        <w:rPr>
          <w:rFonts w:ascii="Arial" w:hAnsi="Arial" w:cs="Arial"/>
        </w:rPr>
        <w:t xml:space="preserve">person </w:t>
      </w:r>
      <w:r w:rsidRPr="00E44760">
        <w:rPr>
          <w:rFonts w:ascii="Arial" w:hAnsi="Arial" w:cs="Arial"/>
        </w:rPr>
        <w:t>concerned must withdraw from the meeting and not take part in any discussions relating to it.</w:t>
      </w:r>
    </w:p>
    <w:p w14:paraId="433DB361" w14:textId="77777777" w:rsidR="00FA3F88" w:rsidRPr="00E44760" w:rsidRDefault="00FA3F88" w:rsidP="00FA3F88">
      <w:pPr>
        <w:pStyle w:val="ListParagraph"/>
        <w:ind w:left="0" w:hanging="357"/>
        <w:mirrorIndents/>
        <w:rPr>
          <w:rFonts w:ascii="Arial" w:hAnsi="Arial" w:cs="Arial"/>
        </w:rPr>
      </w:pPr>
    </w:p>
    <w:p w14:paraId="311756F9"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lastRenderedPageBreak/>
        <w:t xml:space="preserve">Where a conflict of loyalty arises, the PCC will consider what level of participation, if any, is acceptable on the part of the conflicted </w:t>
      </w:r>
      <w:r>
        <w:rPr>
          <w:rFonts w:ascii="Arial" w:hAnsi="Arial" w:cs="Arial"/>
        </w:rPr>
        <w:t>person</w:t>
      </w:r>
      <w:r w:rsidRPr="00E44760">
        <w:rPr>
          <w:rFonts w:ascii="Arial" w:hAnsi="Arial" w:cs="Arial"/>
        </w:rPr>
        <w:t xml:space="preserve">, having regard to the duty to act in the best interests of the PCC.  The normal expectation should be that the conflicted </w:t>
      </w:r>
      <w:r>
        <w:rPr>
          <w:rFonts w:ascii="Arial" w:hAnsi="Arial" w:cs="Arial"/>
        </w:rPr>
        <w:t xml:space="preserve">people </w:t>
      </w:r>
      <w:r w:rsidRPr="00E44760">
        <w:rPr>
          <w:rFonts w:ascii="Arial" w:hAnsi="Arial" w:cs="Arial"/>
        </w:rPr>
        <w:t>should withdraw from the meeting during discussion of the item of business in question.</w:t>
      </w:r>
    </w:p>
    <w:p w14:paraId="677053EA" w14:textId="77777777" w:rsidR="00FA3F88" w:rsidRPr="00E44760" w:rsidRDefault="00FA3F88" w:rsidP="00FA3F88">
      <w:pPr>
        <w:pStyle w:val="ListParagraph"/>
        <w:ind w:left="0" w:hanging="357"/>
        <w:mirrorIndents/>
        <w:rPr>
          <w:rFonts w:ascii="Arial" w:hAnsi="Arial" w:cs="Arial"/>
        </w:rPr>
      </w:pPr>
    </w:p>
    <w:p w14:paraId="5B502075" w14:textId="77777777" w:rsidR="00FA3F88" w:rsidRPr="00E44760" w:rsidRDefault="00FA3F88" w:rsidP="00FA3F88">
      <w:pPr>
        <w:pStyle w:val="ListParagraph"/>
        <w:numPr>
          <w:ilvl w:val="0"/>
          <w:numId w:val="1"/>
        </w:numPr>
        <w:ind w:left="0" w:hanging="357"/>
        <w:mirrorIndents/>
        <w:rPr>
          <w:rFonts w:ascii="Arial" w:hAnsi="Arial" w:cs="Arial"/>
        </w:rPr>
      </w:pPr>
      <w:r w:rsidRPr="00E44760">
        <w:rPr>
          <w:rFonts w:ascii="Arial" w:hAnsi="Arial" w:cs="Arial"/>
        </w:rPr>
        <w:t xml:space="preserve">A </w:t>
      </w:r>
      <w:r>
        <w:rPr>
          <w:rFonts w:ascii="Arial" w:hAnsi="Arial" w:cs="Arial"/>
        </w:rPr>
        <w:t xml:space="preserve">person </w:t>
      </w:r>
      <w:r w:rsidRPr="00E44760">
        <w:rPr>
          <w:rFonts w:ascii="Arial" w:hAnsi="Arial" w:cs="Arial"/>
        </w:rPr>
        <w:t>need not withdraw from a meeting if their interest</w:t>
      </w:r>
      <w:r>
        <w:rPr>
          <w:rFonts w:ascii="Arial" w:hAnsi="Arial" w:cs="Arial"/>
        </w:rPr>
        <w:t>,</w:t>
      </w:r>
      <w:r w:rsidRPr="00E44760">
        <w:rPr>
          <w:rFonts w:ascii="Arial" w:hAnsi="Arial" w:cs="Arial"/>
        </w:rPr>
        <w:t xml:space="preserve"> (whether financial or non-financial)</w:t>
      </w:r>
      <w:r>
        <w:rPr>
          <w:rFonts w:ascii="Arial" w:hAnsi="Arial" w:cs="Arial"/>
        </w:rPr>
        <w:t>,</w:t>
      </w:r>
      <w:r w:rsidRPr="00E44760">
        <w:rPr>
          <w:rFonts w:ascii="Arial" w:hAnsi="Arial" w:cs="Arial"/>
        </w:rPr>
        <w:t xml:space="preserve"> is common to a class of persons and is neither (</w:t>
      </w:r>
      <w:proofErr w:type="spellStart"/>
      <w:r w:rsidRPr="00E44760">
        <w:rPr>
          <w:rFonts w:ascii="Arial" w:hAnsi="Arial" w:cs="Arial"/>
        </w:rPr>
        <w:t>i</w:t>
      </w:r>
      <w:proofErr w:type="spellEnd"/>
      <w:r w:rsidRPr="00E44760">
        <w:rPr>
          <w:rFonts w:ascii="Arial" w:hAnsi="Arial" w:cs="Arial"/>
        </w:rPr>
        <w:t>) significant nor (ii) substantially greater than the interests of other members of that class.</w:t>
      </w:r>
    </w:p>
    <w:p w14:paraId="2FEFDDEE" w14:textId="77777777" w:rsidR="00FA3F88" w:rsidRDefault="00FA3F88"/>
    <w:sectPr w:rsidR="00FA3F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2E55B" w14:textId="77777777" w:rsidR="008C1639" w:rsidRDefault="008C1639" w:rsidP="007B5163">
      <w:r>
        <w:separator/>
      </w:r>
    </w:p>
  </w:endnote>
  <w:endnote w:type="continuationSeparator" w:id="0">
    <w:p w14:paraId="5A4C2537" w14:textId="77777777" w:rsidR="008C1639" w:rsidRDefault="008C1639" w:rsidP="007B5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DE57D" w14:textId="77777777" w:rsidR="007B5163" w:rsidRDefault="007B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3C904" w14:textId="77777777" w:rsidR="007B5163" w:rsidRDefault="007B51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4631" w14:textId="77777777" w:rsidR="007B5163" w:rsidRDefault="007B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55DA" w14:textId="77777777" w:rsidR="008C1639" w:rsidRDefault="008C1639" w:rsidP="007B5163">
      <w:r>
        <w:separator/>
      </w:r>
    </w:p>
  </w:footnote>
  <w:footnote w:type="continuationSeparator" w:id="0">
    <w:p w14:paraId="465D9F7B" w14:textId="77777777" w:rsidR="008C1639" w:rsidRDefault="008C1639" w:rsidP="007B5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0487" w14:textId="77777777" w:rsidR="007B5163" w:rsidRDefault="007B5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496236"/>
      <w:docPartObj>
        <w:docPartGallery w:val="Watermarks"/>
        <w:docPartUnique/>
      </w:docPartObj>
    </w:sdtPr>
    <w:sdtContent>
      <w:p w14:paraId="7B3D8DE3" w14:textId="71885D6F" w:rsidR="007B5163" w:rsidRDefault="007B5163">
        <w:pPr>
          <w:pStyle w:val="Header"/>
        </w:pPr>
        <w:r>
          <w:rPr>
            <w:noProof/>
          </w:rPr>
          <w:pict w14:anchorId="55879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352D4" w14:textId="77777777" w:rsidR="007B5163" w:rsidRDefault="007B5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D2611"/>
    <w:multiLevelType w:val="hybridMultilevel"/>
    <w:tmpl w:val="6608C0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6661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88"/>
    <w:rsid w:val="0013173B"/>
    <w:rsid w:val="001D6765"/>
    <w:rsid w:val="00256094"/>
    <w:rsid w:val="006B48F3"/>
    <w:rsid w:val="007B5163"/>
    <w:rsid w:val="008C1639"/>
    <w:rsid w:val="008F78F0"/>
    <w:rsid w:val="0098071A"/>
    <w:rsid w:val="00FA3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F6ED1"/>
  <w15:chartTrackingRefBased/>
  <w15:docId w15:val="{6189B238-5131-BD47-827E-3683B5DC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3F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F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F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F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F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F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F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F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F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F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F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F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F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F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F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F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F88"/>
    <w:rPr>
      <w:rFonts w:eastAsiaTheme="majorEastAsia" w:cstheme="majorBidi"/>
      <w:color w:val="272727" w:themeColor="text1" w:themeTint="D8"/>
    </w:rPr>
  </w:style>
  <w:style w:type="paragraph" w:styleId="Title">
    <w:name w:val="Title"/>
    <w:basedOn w:val="Normal"/>
    <w:next w:val="Normal"/>
    <w:link w:val="TitleChar"/>
    <w:uiPriority w:val="10"/>
    <w:qFormat/>
    <w:rsid w:val="00FA3F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F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F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F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F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3F88"/>
    <w:rPr>
      <w:i/>
      <w:iCs/>
      <w:color w:val="404040" w:themeColor="text1" w:themeTint="BF"/>
    </w:rPr>
  </w:style>
  <w:style w:type="paragraph" w:styleId="ListParagraph">
    <w:name w:val="List Paragraph"/>
    <w:basedOn w:val="Normal"/>
    <w:uiPriority w:val="34"/>
    <w:qFormat/>
    <w:rsid w:val="00FA3F88"/>
    <w:pPr>
      <w:ind w:left="720"/>
      <w:contextualSpacing/>
    </w:pPr>
  </w:style>
  <w:style w:type="character" w:styleId="IntenseEmphasis">
    <w:name w:val="Intense Emphasis"/>
    <w:basedOn w:val="DefaultParagraphFont"/>
    <w:uiPriority w:val="21"/>
    <w:qFormat/>
    <w:rsid w:val="00FA3F88"/>
    <w:rPr>
      <w:i/>
      <w:iCs/>
      <w:color w:val="0F4761" w:themeColor="accent1" w:themeShade="BF"/>
    </w:rPr>
  </w:style>
  <w:style w:type="paragraph" w:styleId="IntenseQuote">
    <w:name w:val="Intense Quote"/>
    <w:basedOn w:val="Normal"/>
    <w:next w:val="Normal"/>
    <w:link w:val="IntenseQuoteChar"/>
    <w:uiPriority w:val="30"/>
    <w:qFormat/>
    <w:rsid w:val="00FA3F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F88"/>
    <w:rPr>
      <w:i/>
      <w:iCs/>
      <w:color w:val="0F4761" w:themeColor="accent1" w:themeShade="BF"/>
    </w:rPr>
  </w:style>
  <w:style w:type="character" w:styleId="IntenseReference">
    <w:name w:val="Intense Reference"/>
    <w:basedOn w:val="DefaultParagraphFont"/>
    <w:uiPriority w:val="32"/>
    <w:qFormat/>
    <w:rsid w:val="00FA3F88"/>
    <w:rPr>
      <w:b/>
      <w:bCs/>
      <w:smallCaps/>
      <w:color w:val="0F4761" w:themeColor="accent1" w:themeShade="BF"/>
      <w:spacing w:val="5"/>
    </w:rPr>
  </w:style>
  <w:style w:type="table" w:styleId="TableGrid">
    <w:name w:val="Table Grid"/>
    <w:basedOn w:val="TableNormal"/>
    <w:uiPriority w:val="39"/>
    <w:rsid w:val="0013173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5163"/>
    <w:pPr>
      <w:tabs>
        <w:tab w:val="center" w:pos="4513"/>
        <w:tab w:val="right" w:pos="9026"/>
      </w:tabs>
    </w:pPr>
  </w:style>
  <w:style w:type="character" w:customStyle="1" w:styleId="HeaderChar">
    <w:name w:val="Header Char"/>
    <w:basedOn w:val="DefaultParagraphFont"/>
    <w:link w:val="Header"/>
    <w:uiPriority w:val="99"/>
    <w:rsid w:val="007B5163"/>
  </w:style>
  <w:style w:type="paragraph" w:styleId="Footer">
    <w:name w:val="footer"/>
    <w:basedOn w:val="Normal"/>
    <w:link w:val="FooterChar"/>
    <w:uiPriority w:val="99"/>
    <w:unhideWhenUsed/>
    <w:rsid w:val="007B5163"/>
    <w:pPr>
      <w:tabs>
        <w:tab w:val="center" w:pos="4513"/>
        <w:tab w:val="right" w:pos="9026"/>
      </w:tabs>
    </w:pPr>
  </w:style>
  <w:style w:type="character" w:customStyle="1" w:styleId="FooterChar">
    <w:name w:val="Footer Char"/>
    <w:basedOn w:val="DefaultParagraphFont"/>
    <w:link w:val="Footer"/>
    <w:uiPriority w:val="99"/>
    <w:rsid w:val="007B5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Smith</dc:creator>
  <cp:keywords/>
  <dc:description/>
  <cp:lastModifiedBy>Will Meadows</cp:lastModifiedBy>
  <cp:revision>2</cp:revision>
  <dcterms:created xsi:type="dcterms:W3CDTF">2025-11-22T13:06:00Z</dcterms:created>
  <dcterms:modified xsi:type="dcterms:W3CDTF">2025-11-22T13:06:00Z</dcterms:modified>
</cp:coreProperties>
</file>